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A58C978">
      <w:pPr>
        <w:jc w:val="center"/>
        <w:rPr>
          <w:rFonts w:hint="default" w:ascii="Times New Roman" w:hAnsi="Times New Roman" w:eastAsia="宋体" w:cs="Times New Roman"/>
          <w:b/>
          <w:bCs/>
          <w:sz w:val="32"/>
          <w:szCs w:val="32"/>
        </w:rPr>
      </w:pPr>
      <w:r>
        <w:rPr>
          <w:rFonts w:hint="default" w:ascii="Times New Roman" w:hAnsi="Times New Roman" w:eastAsia="宋体" w:cs="Times New Roman"/>
          <w:b/>
          <w:bCs/>
          <w:sz w:val="32"/>
          <w:szCs w:val="32"/>
        </w:rPr>
        <w:t>病例报告CARE清单</w:t>
      </w:r>
    </w:p>
    <w:tbl>
      <w:tblPr>
        <w:tblStyle w:val="3"/>
        <w:tblW w:w="10019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1"/>
        <w:gridCol w:w="990"/>
        <w:gridCol w:w="1767"/>
        <w:gridCol w:w="1578"/>
        <w:gridCol w:w="1765"/>
        <w:gridCol w:w="1111"/>
        <w:gridCol w:w="1347"/>
      </w:tblGrid>
      <w:tr w14:paraId="40277B3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E4CB15A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稿号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CDA751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14:paraId="30F19F27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题目</w:t>
            </w:r>
          </w:p>
        </w:tc>
        <w:tc>
          <w:tcPr>
            <w:tcW w:w="5801" w:type="dxa"/>
            <w:gridSpan w:val="4"/>
            <w:shd w:val="clear" w:color="auto" w:fill="auto"/>
            <w:vAlign w:val="center"/>
          </w:tcPr>
          <w:p w14:paraId="2BCE71DA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F885C2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57780A0">
            <w:pPr>
              <w:spacing w:line="240" w:lineRule="auto"/>
              <w:jc w:val="left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第一作者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19943F3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67" w:type="dxa"/>
            <w:shd w:val="clear" w:color="auto" w:fill="auto"/>
            <w:vAlign w:val="center"/>
          </w:tcPr>
          <w:p w14:paraId="262CDF5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通信作者</w:t>
            </w:r>
          </w:p>
        </w:tc>
        <w:tc>
          <w:tcPr>
            <w:tcW w:w="1578" w:type="dxa"/>
            <w:shd w:val="clear" w:color="auto" w:fill="auto"/>
            <w:vAlign w:val="center"/>
          </w:tcPr>
          <w:p w14:paraId="0EBA7EF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  <w:tc>
          <w:tcPr>
            <w:tcW w:w="1765" w:type="dxa"/>
            <w:shd w:val="clear" w:color="auto" w:fill="auto"/>
            <w:vAlign w:val="center"/>
          </w:tcPr>
          <w:p w14:paraId="38E50CA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作者单位</w:t>
            </w:r>
          </w:p>
        </w:tc>
        <w:tc>
          <w:tcPr>
            <w:tcW w:w="2458" w:type="dxa"/>
            <w:gridSpan w:val="2"/>
            <w:shd w:val="clear" w:color="auto" w:fill="auto"/>
            <w:vAlign w:val="center"/>
          </w:tcPr>
          <w:p w14:paraId="3CBC66A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24958A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1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0F6019C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项目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3253F5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序号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3839B99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清单内容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68321F89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</w:pPr>
            <w:r>
              <w:rPr>
                <w:rFonts w:hint="default" w:ascii="Times New Roman" w:hAnsi="Times New Roman" w:eastAsia="宋体" w:cs="Times New Roman"/>
                <w:b/>
                <w:bCs/>
                <w:sz w:val="24"/>
                <w:szCs w:val="24"/>
                <w:vertAlign w:val="baseline"/>
                <w:lang w:val="en-US" w:eastAsia="zh-CN"/>
              </w:rPr>
              <w:t>报告页码</w:t>
            </w:r>
          </w:p>
        </w:tc>
      </w:tr>
      <w:tr w14:paraId="136A89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164B0BA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文</w:t>
            </w: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题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E304A9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02EC98CC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文题包括病例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诊断或干预措施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等焦点内容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，后接“病例报告”字样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7129839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C5CC7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8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C66920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关键词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4B9307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08E3DCCE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一般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2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~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5个关键词（包含“病例报告”），体现诊断或干预措施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4FA092A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E32E03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vMerge w:val="restart"/>
            <w:shd w:val="clear" w:color="auto" w:fill="auto"/>
            <w:vAlign w:val="center"/>
          </w:tcPr>
          <w:p w14:paraId="1B1636F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摘要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6439D5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3a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5B683754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明确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本病例的独特之处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及其对科学文献的贡献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3760D8F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0F3C8E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vMerge w:val="continue"/>
            <w:shd w:val="clear" w:color="auto" w:fill="auto"/>
            <w:vAlign w:val="center"/>
          </w:tcPr>
          <w:p w14:paraId="1E0DB18E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77DC01F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3b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54B2C47F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主要症状和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（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或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）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重要临床发现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1C29545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B182EF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vMerge w:val="continue"/>
            <w:shd w:val="clear" w:color="auto" w:fill="auto"/>
            <w:vAlign w:val="center"/>
          </w:tcPr>
          <w:p w14:paraId="62EF8E87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5ED2312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3c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2E0451EB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主要诊断、治疗干预和结果</w:t>
            </w:r>
          </w:p>
        </w:tc>
        <w:tc>
          <w:tcPr>
            <w:tcW w:w="1347" w:type="dxa"/>
            <w:shd w:val="clear" w:color="auto" w:fill="auto"/>
            <w:vAlign w:val="center"/>
          </w:tcPr>
          <w:p w14:paraId="37BFC21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A0FE8B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vMerge w:val="continue"/>
            <w:shd w:val="clear" w:color="auto" w:fill="auto"/>
            <w:vAlign w:val="center"/>
          </w:tcPr>
          <w:p w14:paraId="249BA7B2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590AF4B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3d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25863BD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结论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：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本病例的核心启示</w:t>
            </w:r>
          </w:p>
        </w:tc>
        <w:tc>
          <w:tcPr>
            <w:tcW w:w="1347" w:type="dxa"/>
            <w:shd w:val="clear" w:color="auto" w:fill="auto"/>
          </w:tcPr>
          <w:p w14:paraId="519A6C0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1D4921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4D0FC80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前</w:t>
            </w: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言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3C37F01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4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648F80E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说明病例的独特性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，并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引用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相关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文献</w:t>
            </w:r>
          </w:p>
        </w:tc>
        <w:tc>
          <w:tcPr>
            <w:tcW w:w="1347" w:type="dxa"/>
            <w:shd w:val="clear" w:color="auto" w:fill="auto"/>
          </w:tcPr>
          <w:p w14:paraId="42F8D9E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85020D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5AB377AF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信息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50DF5E0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25DEA35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去标识化的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具体信息</w:t>
            </w:r>
          </w:p>
        </w:tc>
        <w:tc>
          <w:tcPr>
            <w:tcW w:w="1347" w:type="dxa"/>
            <w:shd w:val="clear" w:color="auto" w:fill="auto"/>
          </w:tcPr>
          <w:p w14:paraId="6CA9D87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BBF519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054AF30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241A91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04E642E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的主诉和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主要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症状</w:t>
            </w:r>
          </w:p>
        </w:tc>
        <w:tc>
          <w:tcPr>
            <w:tcW w:w="1347" w:type="dxa"/>
            <w:shd w:val="clear" w:color="auto" w:fill="auto"/>
          </w:tcPr>
          <w:p w14:paraId="6DF85FC8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D18B2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49BC81C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4C99855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BFF909E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既往史、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家族史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、遗传史和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社会心理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状态等，与本病例诊疗过程有关的病历资料</w:t>
            </w:r>
          </w:p>
        </w:tc>
        <w:tc>
          <w:tcPr>
            <w:tcW w:w="1347" w:type="dxa"/>
            <w:shd w:val="clear" w:color="auto" w:fill="auto"/>
          </w:tcPr>
          <w:p w14:paraId="0BDAB7B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C6445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D38A058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A3814C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5d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D03D6E9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既往相关干预措施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和结局</w:t>
            </w:r>
          </w:p>
        </w:tc>
        <w:tc>
          <w:tcPr>
            <w:tcW w:w="1347" w:type="dxa"/>
            <w:shd w:val="clear" w:color="auto" w:fill="auto"/>
          </w:tcPr>
          <w:p w14:paraId="76B42C4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2749B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439EE08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临床发现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288D6AB0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6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47304134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描述有意义的体格检查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结果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和重要临床发现</w:t>
            </w:r>
          </w:p>
        </w:tc>
        <w:tc>
          <w:tcPr>
            <w:tcW w:w="1347" w:type="dxa"/>
            <w:shd w:val="clear" w:color="auto" w:fill="auto"/>
          </w:tcPr>
          <w:p w14:paraId="1C1A151B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CAFC01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5B3D012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时间线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A69EB5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7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484A49A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以时间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线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形式整理本次诊疗过程的历史与当前信息</w:t>
            </w:r>
          </w:p>
        </w:tc>
        <w:tc>
          <w:tcPr>
            <w:tcW w:w="1347" w:type="dxa"/>
            <w:shd w:val="clear" w:color="auto" w:fill="auto"/>
          </w:tcPr>
          <w:p w14:paraId="7D6644B1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33F27A2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D6A400E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诊断评估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4526555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59AA4A47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诊断性检查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，体格检查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、实验室检查、影像学、问卷调查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等</w:t>
            </w:r>
          </w:p>
        </w:tc>
        <w:tc>
          <w:tcPr>
            <w:tcW w:w="1347" w:type="dxa"/>
            <w:shd w:val="clear" w:color="auto" w:fill="auto"/>
          </w:tcPr>
          <w:p w14:paraId="128F3EA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385F2B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D9E0301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C0AC06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4475EBF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难点，包括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检测可及性、经济或文化因素</w:t>
            </w:r>
          </w:p>
        </w:tc>
        <w:tc>
          <w:tcPr>
            <w:tcW w:w="1347" w:type="dxa"/>
            <w:shd w:val="clear" w:color="auto" w:fill="auto"/>
          </w:tcPr>
          <w:p w14:paraId="349BE5E9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9412B7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0B1D3BE7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D27FAF9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5FE2DD09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最终诊断（含鉴别诊断）</w:t>
            </w:r>
          </w:p>
        </w:tc>
        <w:tc>
          <w:tcPr>
            <w:tcW w:w="1347" w:type="dxa"/>
            <w:shd w:val="clear" w:color="auto" w:fill="auto"/>
          </w:tcPr>
          <w:p w14:paraId="1943E04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21B716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1A54CE59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2893CD4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8d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20D6F8A2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预后</w:t>
            </w:r>
          </w:p>
        </w:tc>
        <w:tc>
          <w:tcPr>
            <w:tcW w:w="1347" w:type="dxa"/>
            <w:shd w:val="clear" w:color="auto" w:fill="auto"/>
          </w:tcPr>
          <w:p w14:paraId="373C08DC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B261B4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E533E58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治疗干预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D4D5D5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9a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9AD1ECC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干预类型（如药物、手术、预防、自我护理）</w:t>
            </w:r>
          </w:p>
        </w:tc>
        <w:tc>
          <w:tcPr>
            <w:tcW w:w="1347" w:type="dxa"/>
            <w:shd w:val="clear" w:color="auto" w:fill="auto"/>
          </w:tcPr>
          <w:p w14:paraId="0FEDE31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C7ED21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1A531D1F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0D432D9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9b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AA0F062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干预实施细节（如剂量、强度、持续时间）</w:t>
            </w:r>
          </w:p>
        </w:tc>
        <w:tc>
          <w:tcPr>
            <w:tcW w:w="1347" w:type="dxa"/>
            <w:shd w:val="clear" w:color="auto" w:fill="auto"/>
          </w:tcPr>
          <w:p w14:paraId="66121F0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0F048F1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488E309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68390C7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9c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30F2FDD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干预方案的调整及依据</w:t>
            </w:r>
          </w:p>
        </w:tc>
        <w:tc>
          <w:tcPr>
            <w:tcW w:w="1347" w:type="dxa"/>
            <w:shd w:val="clear" w:color="auto" w:fill="auto"/>
          </w:tcPr>
          <w:p w14:paraId="2AD2E760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8B314A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3EA7C44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随访与结</w:t>
            </w: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局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F6596D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43BF7ABA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临床医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师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评估的结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局</w:t>
            </w:r>
          </w:p>
        </w:tc>
        <w:tc>
          <w:tcPr>
            <w:tcW w:w="1347" w:type="dxa"/>
            <w:shd w:val="clear" w:color="auto" w:fill="auto"/>
          </w:tcPr>
          <w:p w14:paraId="18EB426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3249B5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2B29A4C1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7F3BA27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985A7B0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随访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过程中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重要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诊断及检测结果</w:t>
            </w:r>
          </w:p>
        </w:tc>
        <w:tc>
          <w:tcPr>
            <w:tcW w:w="1347" w:type="dxa"/>
            <w:shd w:val="clear" w:color="auto" w:fill="auto"/>
          </w:tcPr>
          <w:p w14:paraId="2D130BF2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6089A4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4E46EAE7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1B94AA4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308E8DD2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干预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依从性及耐受性（评估方法）</w:t>
            </w:r>
          </w:p>
        </w:tc>
        <w:tc>
          <w:tcPr>
            <w:tcW w:w="1347" w:type="dxa"/>
            <w:shd w:val="clear" w:color="auto" w:fill="auto"/>
          </w:tcPr>
          <w:p w14:paraId="3A05EA6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74F43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04396D5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4652F62A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10d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3125F693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不良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结局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及非预期事件</w:t>
            </w:r>
          </w:p>
        </w:tc>
        <w:tc>
          <w:tcPr>
            <w:tcW w:w="1347" w:type="dxa"/>
            <w:shd w:val="clear" w:color="auto" w:fill="auto"/>
          </w:tcPr>
          <w:p w14:paraId="1FC66B7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0358F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762A099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讨论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18394D4D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11a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130260F1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科学讨论本病例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诊疗过程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的优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点和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局限性</w:t>
            </w:r>
          </w:p>
        </w:tc>
        <w:tc>
          <w:tcPr>
            <w:tcW w:w="1347" w:type="dxa"/>
            <w:shd w:val="clear" w:color="auto" w:fill="auto"/>
          </w:tcPr>
          <w:p w14:paraId="1141FA75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1FE06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635DC09C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6F1092B2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11b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03BB1B83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结合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相关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文献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进行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讨论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，并适当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引用参考文献</w:t>
            </w:r>
          </w:p>
        </w:tc>
        <w:tc>
          <w:tcPr>
            <w:tcW w:w="1347" w:type="dxa"/>
            <w:shd w:val="clear" w:color="auto" w:fill="auto"/>
          </w:tcPr>
          <w:p w14:paraId="73A68496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1191AC6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02EF3A5A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2DF2FD6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11c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538B047D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结论的科学依据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含病因分析</w:t>
            </w:r>
          </w:p>
        </w:tc>
        <w:tc>
          <w:tcPr>
            <w:tcW w:w="1347" w:type="dxa"/>
            <w:shd w:val="clear" w:color="auto" w:fill="auto"/>
          </w:tcPr>
          <w:p w14:paraId="32E3F10D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4EFB98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34377D4B">
            <w:pPr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</w:p>
        </w:tc>
        <w:tc>
          <w:tcPr>
            <w:tcW w:w="990" w:type="dxa"/>
            <w:shd w:val="clear" w:color="auto" w:fill="auto"/>
            <w:vAlign w:val="center"/>
          </w:tcPr>
          <w:p w14:paraId="393FBED6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11d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472CCD59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一段式结论，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阐述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核心启示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，无需引用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参考文献</w:t>
            </w:r>
          </w:p>
        </w:tc>
        <w:tc>
          <w:tcPr>
            <w:tcW w:w="1347" w:type="dxa"/>
            <w:shd w:val="clear" w:color="auto" w:fill="auto"/>
          </w:tcPr>
          <w:p w14:paraId="015F241E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7EC0EF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34BAE3FB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视角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66896894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12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27A9F61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对治疗的反馈</w:t>
            </w:r>
          </w:p>
        </w:tc>
        <w:tc>
          <w:tcPr>
            <w:tcW w:w="1347" w:type="dxa"/>
            <w:shd w:val="clear" w:color="auto" w:fill="auto"/>
          </w:tcPr>
          <w:p w14:paraId="2CE93D1F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  <w:tr w14:paraId="5E747FA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2" w:hRule="atLeast"/>
          <w:jc w:val="center"/>
        </w:trPr>
        <w:tc>
          <w:tcPr>
            <w:tcW w:w="1461" w:type="dxa"/>
            <w:shd w:val="clear" w:color="auto" w:fill="auto"/>
            <w:vAlign w:val="center"/>
          </w:tcPr>
          <w:p w14:paraId="204F6FC3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Style w:val="5"/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知情同意</w:t>
            </w:r>
          </w:p>
        </w:tc>
        <w:tc>
          <w:tcPr>
            <w:tcW w:w="990" w:type="dxa"/>
            <w:shd w:val="clear" w:color="auto" w:fill="auto"/>
            <w:vAlign w:val="center"/>
          </w:tcPr>
          <w:p w14:paraId="030C8B4C">
            <w:pPr>
              <w:keepNext w:val="0"/>
              <w:keepLines w:val="0"/>
              <w:widowControl/>
              <w:suppressLineNumbers w:val="0"/>
              <w:spacing w:line="240" w:lineRule="auto"/>
              <w:jc w:val="center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13</w:t>
            </w:r>
          </w:p>
        </w:tc>
        <w:tc>
          <w:tcPr>
            <w:tcW w:w="6221" w:type="dxa"/>
            <w:gridSpan w:val="4"/>
            <w:shd w:val="clear" w:color="auto" w:fill="auto"/>
            <w:vAlign w:val="center"/>
          </w:tcPr>
          <w:p w14:paraId="6BCA51D5">
            <w:pPr>
              <w:keepNext w:val="0"/>
              <w:keepLines w:val="0"/>
              <w:widowControl/>
              <w:suppressLineNumbers w:val="0"/>
              <w:spacing w:line="240" w:lineRule="auto"/>
              <w:jc w:val="left"/>
              <w:rPr>
                <w:rFonts w:hint="default" w:ascii="Times New Roman" w:hAnsi="Times New Roman" w:cs="Times New Roman" w:eastAsiaTheme="minorEastAsia"/>
                <w:kern w:val="2"/>
                <w:sz w:val="24"/>
                <w:szCs w:val="24"/>
                <w:lang w:val="en-US" w:eastAsia="zh-CN" w:bidi="ar-SA"/>
              </w:rPr>
            </w:pPr>
            <w:r>
              <w:rPr>
                <w:rFonts w:hint="default" w:ascii="Times New Roman" w:hAnsi="Times New Roman" w:eastAsia="宋体" w:cs="Times New Roman"/>
                <w:b w:val="0"/>
                <w:color w:val="000000"/>
                <w:kern w:val="0"/>
                <w:sz w:val="24"/>
                <w:szCs w:val="24"/>
                <w:lang w:val="en-US" w:eastAsia="zh-CN" w:bidi="ar"/>
              </w:rPr>
              <w:sym w:font="Wingdings 2" w:char="00A3"/>
            </w:r>
            <w:bookmarkStart w:id="0" w:name="_GoBack"/>
            <w:bookmarkEnd w:id="0"/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如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必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要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，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请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病人</w:t>
            </w:r>
            <w:r>
              <w:rPr>
                <w:rFonts w:hint="default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签署知情同意</w:t>
            </w:r>
            <w:r>
              <w:rPr>
                <w:rFonts w:hint="eastAsia" w:ascii="Times New Roman" w:hAnsi="Times New Roman" w:eastAsia="宋体" w:cs="Times New Roman"/>
                <w:kern w:val="0"/>
                <w:sz w:val="24"/>
                <w:szCs w:val="24"/>
                <w:lang w:val="en-US" w:eastAsia="zh-CN" w:bidi="ar"/>
              </w:rPr>
              <w:t>书</w:t>
            </w:r>
          </w:p>
        </w:tc>
        <w:tc>
          <w:tcPr>
            <w:tcW w:w="1347" w:type="dxa"/>
            <w:shd w:val="clear" w:color="auto" w:fill="auto"/>
          </w:tcPr>
          <w:p w14:paraId="5AC466D4">
            <w:pPr>
              <w:spacing w:line="240" w:lineRule="auto"/>
              <w:jc w:val="center"/>
              <w:rPr>
                <w:rFonts w:hint="default" w:ascii="Times New Roman" w:hAnsi="Times New Roman" w:eastAsia="宋体" w:cs="Times New Roman"/>
                <w:sz w:val="24"/>
                <w:szCs w:val="24"/>
                <w:vertAlign w:val="baseline"/>
                <w:lang w:val="en-US" w:eastAsia="zh-CN"/>
              </w:rPr>
            </w:pPr>
          </w:p>
        </w:tc>
      </w:tr>
    </w:tbl>
    <w:p w14:paraId="12F88DE4">
      <w:pPr>
        <w:spacing w:line="360" w:lineRule="auto"/>
        <w:ind w:firstLine="480" w:firstLineChars="200"/>
      </w:pP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注：根据本文研究类型，请基于研究报告规范清单对论文内容的完整性进行自评；如对应条目完整，请在</w:t>
      </w:r>
      <w:r>
        <w:rPr>
          <w:rFonts w:hint="default" w:ascii="Times New Roman" w:hAnsi="Times New Roman" w:eastAsia="宋体" w:cs="Times New Roman"/>
          <w:b w:val="0"/>
          <w:color w:val="000000"/>
          <w:kern w:val="0"/>
          <w:sz w:val="24"/>
          <w:szCs w:val="24"/>
          <w:lang w:val="en-US" w:eastAsia="zh-CN" w:bidi="ar"/>
        </w:rPr>
        <w:sym w:font="Wingdings 2" w:char="00A3"/>
      </w:r>
      <w:r>
        <w:rPr>
          <w:rFonts w:hint="eastAsia" w:ascii="Times New Roman" w:hAnsi="Times New Roman" w:cs="Times New Roman"/>
          <w:b w:val="0"/>
          <w:color w:val="000000"/>
          <w:kern w:val="0"/>
          <w:sz w:val="24"/>
          <w:szCs w:val="24"/>
          <w:lang w:val="en-US" w:eastAsia="zh-CN" w:bidi="ar"/>
        </w:rPr>
        <w:t>中</w:t>
      </w:r>
      <w:r>
        <w:rPr>
          <w:rFonts w:hint="eastAsia" w:ascii="Times New Roman" w:hAnsi="Times New Roman" w:cs="Times New Roman"/>
          <w:sz w:val="24"/>
          <w:szCs w:val="24"/>
          <w:lang w:val="en-US" w:eastAsia="zh-CN"/>
        </w:rPr>
        <w:t>划√，并拍照/扫描后上传至本刊稿件处理系统，无法补充的内容请逐项说明原因</w:t>
      </w: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500019E"/>
    <w:rsid w:val="3216653F"/>
    <w:rsid w:val="62E245C6"/>
    <w:rsid w:val="750001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5">
    <w:name w:val="Strong"/>
    <w:basedOn w:val="4"/>
    <w:qFormat/>
    <w:uiPriority w:val="0"/>
    <w:rPr>
      <w:b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695</Words>
  <Characters>733</Characters>
  <Lines>0</Lines>
  <Paragraphs>0</Paragraphs>
  <TotalTime>0</TotalTime>
  <ScaleCrop>false</ScaleCrop>
  <LinksUpToDate>false</LinksUpToDate>
  <CharactersWithSpaces>733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2025-04-10T06:01:00Z</dcterms:created>
  <dc:creator>Editor Lin</dc:creator>
  <cp:lastModifiedBy>Editor Lin</cp:lastModifiedBy>
  <dcterms:modified xsi:type="dcterms:W3CDTF">2025-04-10T07:11:11Z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2B9B4B79245044DD9B1A44768854D2EA_11</vt:lpwstr>
  </property>
  <property fmtid="{D5CDD505-2E9C-101B-9397-08002B2CF9AE}" pid="4" name="KSOTemplateDocerSaveRecord">
    <vt:lpwstr>eyJoZGlkIjoiNTRlOWJiYTZmYWU3NTc1YjQyNGUzYTdjNGZmZDc3MzEiLCJ1c2VySWQiOiIyODMxNTEwMTgifQ==</vt:lpwstr>
  </property>
</Properties>
</file>